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71" w:rsidRPr="007416A5" w:rsidRDefault="008A2771" w:rsidP="00196382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920"/>
      </w:tblGrid>
      <w:tr w:rsidR="00196382" w:rsidTr="00196382">
        <w:trPr>
          <w:trHeight w:val="386"/>
        </w:trPr>
        <w:tc>
          <w:tcPr>
            <w:tcW w:w="10458" w:type="dxa"/>
            <w:gridSpan w:val="2"/>
            <w:shd w:val="clear" w:color="auto" w:fill="auto"/>
          </w:tcPr>
          <w:p w:rsidR="00196382" w:rsidRPr="009D4A5C" w:rsidRDefault="00196382" w:rsidP="008914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</w:rPr>
              <w:t xml:space="preserve">2016 ELIGIBILITY </w:t>
            </w:r>
            <w:r w:rsidR="008914C7">
              <w:rPr>
                <w:b/>
              </w:rPr>
              <w:t>REQUIREMENTS</w:t>
            </w:r>
          </w:p>
        </w:tc>
      </w:tr>
      <w:tr w:rsidR="00AF7C36" w:rsidTr="00AF7C36">
        <w:trPr>
          <w:trHeight w:val="1028"/>
        </w:trPr>
        <w:tc>
          <w:tcPr>
            <w:tcW w:w="2538" w:type="dxa"/>
            <w:vMerge w:val="restart"/>
            <w:shd w:val="clear" w:color="auto" w:fill="7030A0"/>
          </w:tcPr>
          <w:p w:rsidR="00AF7C36" w:rsidRDefault="00AF7C36" w:rsidP="001D412E">
            <w:pPr>
              <w:shd w:val="clear" w:color="auto" w:fill="7030A0"/>
              <w:rPr>
                <w:b/>
                <w:color w:val="FFFFFF" w:themeColor="background1"/>
                <w:sz w:val="28"/>
                <w:szCs w:val="28"/>
              </w:rPr>
            </w:pPr>
            <w:r w:rsidRPr="00DC4B16">
              <w:rPr>
                <w:b/>
                <w:color w:val="FFFFFF" w:themeColor="background1"/>
                <w:sz w:val="28"/>
                <w:szCs w:val="28"/>
              </w:rPr>
              <w:t>ABRET CLTM</w:t>
            </w:r>
          </w:p>
          <w:p w:rsidR="00AF7C36" w:rsidRPr="00DC4B16" w:rsidRDefault="00AF7C36" w:rsidP="001D412E">
            <w:pPr>
              <w:shd w:val="clear" w:color="auto" w:fill="7030A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Certification in Long Term Monitoring</w:t>
            </w:r>
          </w:p>
          <w:p w:rsidR="00AF7C36" w:rsidRPr="00DC4B16" w:rsidRDefault="00AF7C36" w:rsidP="001D412E">
            <w:pPr>
              <w:shd w:val="clear" w:color="auto" w:fill="7030A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Eligibility Pathway</w:t>
            </w:r>
          </w:p>
          <w:p w:rsidR="00AF7C36" w:rsidRDefault="00AF7C36" w:rsidP="001D412E">
            <w:pPr>
              <w:shd w:val="clear" w:color="auto" w:fill="7030A0"/>
            </w:pPr>
          </w:p>
          <w:p w:rsidR="00AF7C36" w:rsidRDefault="00AF7C36" w:rsidP="001D412E">
            <w:pPr>
              <w:shd w:val="clear" w:color="auto" w:fill="7030A0"/>
            </w:pPr>
          </w:p>
          <w:p w:rsidR="00AF7C36" w:rsidRDefault="00AF7C36" w:rsidP="001D412E">
            <w:pPr>
              <w:shd w:val="clear" w:color="auto" w:fill="7030A0"/>
            </w:pPr>
          </w:p>
          <w:p w:rsidR="00AF7C36" w:rsidRDefault="00AF7C36" w:rsidP="001D412E"/>
        </w:tc>
        <w:tc>
          <w:tcPr>
            <w:tcW w:w="7920" w:type="dxa"/>
            <w:shd w:val="clear" w:color="auto" w:fill="7030A0"/>
          </w:tcPr>
          <w:p w:rsidR="00AF7C36" w:rsidRPr="009D4A5C" w:rsidRDefault="00AF7C36" w:rsidP="001D412E">
            <w:pPr>
              <w:rPr>
                <w:b/>
                <w:sz w:val="24"/>
                <w:szCs w:val="24"/>
              </w:rPr>
            </w:pPr>
            <w:r w:rsidRPr="009D4A5C">
              <w:rPr>
                <w:b/>
                <w:color w:val="FFFFFF" w:themeColor="background1"/>
                <w:sz w:val="24"/>
                <w:szCs w:val="24"/>
              </w:rPr>
              <w:t>R. EEG T. Credential</w:t>
            </w:r>
          </w:p>
        </w:tc>
      </w:tr>
      <w:tr w:rsidR="00FC4D60" w:rsidTr="00613188">
        <w:tc>
          <w:tcPr>
            <w:tcW w:w="2538" w:type="dxa"/>
            <w:vMerge/>
            <w:shd w:val="clear" w:color="auto" w:fill="7030A0"/>
          </w:tcPr>
          <w:p w:rsidR="00FC4D60" w:rsidRDefault="00FC4D60" w:rsidP="001D412E"/>
        </w:tc>
        <w:tc>
          <w:tcPr>
            <w:tcW w:w="7920" w:type="dxa"/>
          </w:tcPr>
          <w:p w:rsidR="00FC4D60" w:rsidRPr="004E4A87" w:rsidRDefault="00FC4D60" w:rsidP="001D412E">
            <w:r>
              <w:t>One year as an R. EEG T. or RET (Canadian EEG Credential)</w:t>
            </w:r>
            <w:r w:rsidR="00613188">
              <w:br/>
            </w:r>
          </w:p>
        </w:tc>
      </w:tr>
      <w:tr w:rsidR="00FC4D60" w:rsidTr="00613188">
        <w:trPr>
          <w:trHeight w:val="666"/>
        </w:trPr>
        <w:tc>
          <w:tcPr>
            <w:tcW w:w="2538" w:type="dxa"/>
            <w:vMerge/>
            <w:shd w:val="clear" w:color="auto" w:fill="7030A0"/>
          </w:tcPr>
          <w:p w:rsidR="00FC4D60" w:rsidRDefault="00FC4D60" w:rsidP="001D412E"/>
        </w:tc>
        <w:tc>
          <w:tcPr>
            <w:tcW w:w="7920" w:type="dxa"/>
          </w:tcPr>
          <w:p w:rsidR="00FC4D60" w:rsidRPr="004E4A87" w:rsidRDefault="00FC4D60" w:rsidP="001D412E">
            <w:pPr>
              <w:rPr>
                <w:b/>
              </w:rPr>
            </w:pPr>
            <w:r>
              <w:t>One year of Long Term Monitoring Experience after the EEG credential is earned.*</w:t>
            </w:r>
          </w:p>
        </w:tc>
      </w:tr>
      <w:tr w:rsidR="00C45C5E" w:rsidRPr="00AB235D" w:rsidTr="00613188">
        <w:trPr>
          <w:trHeight w:val="666"/>
        </w:trPr>
        <w:tc>
          <w:tcPr>
            <w:tcW w:w="2538" w:type="dxa"/>
            <w:vMerge/>
            <w:shd w:val="clear" w:color="auto" w:fill="7030A0"/>
          </w:tcPr>
          <w:p w:rsidR="00C45C5E" w:rsidRDefault="00C45C5E" w:rsidP="001D412E"/>
        </w:tc>
        <w:tc>
          <w:tcPr>
            <w:tcW w:w="7920" w:type="dxa"/>
          </w:tcPr>
          <w:p w:rsidR="00C45C5E" w:rsidRDefault="00EB57BA" w:rsidP="00110AF3">
            <w:r>
              <w:t xml:space="preserve">Documentation of 50 LTM cases. Max of </w:t>
            </w:r>
            <w:r w:rsidR="00110AF3">
              <w:t>3</w:t>
            </w:r>
            <w:r>
              <w:t xml:space="preserve"> cases per day.</w:t>
            </w:r>
          </w:p>
        </w:tc>
      </w:tr>
      <w:tr w:rsidR="00FC4D60" w:rsidTr="00613188">
        <w:trPr>
          <w:trHeight w:val="666"/>
        </w:trPr>
        <w:tc>
          <w:tcPr>
            <w:tcW w:w="2538" w:type="dxa"/>
            <w:vMerge/>
            <w:shd w:val="clear" w:color="auto" w:fill="7030A0"/>
          </w:tcPr>
          <w:p w:rsidR="00FC4D60" w:rsidRDefault="00FC4D60" w:rsidP="001D412E"/>
        </w:tc>
        <w:tc>
          <w:tcPr>
            <w:tcW w:w="7920" w:type="dxa"/>
          </w:tcPr>
          <w:p w:rsidR="00FC4D60" w:rsidRPr="00613188" w:rsidRDefault="00FC4D60" w:rsidP="00FC4D60">
            <w:r w:rsidRPr="00613188">
              <w:t>Current CPR/BCLS certification</w:t>
            </w:r>
          </w:p>
        </w:tc>
      </w:tr>
      <w:tr w:rsidR="00FC4D60" w:rsidTr="00613188">
        <w:tc>
          <w:tcPr>
            <w:tcW w:w="2538" w:type="dxa"/>
            <w:vMerge/>
            <w:shd w:val="clear" w:color="auto" w:fill="7030A0"/>
          </w:tcPr>
          <w:p w:rsidR="00FC4D60" w:rsidRDefault="00FC4D60" w:rsidP="001D412E"/>
        </w:tc>
        <w:tc>
          <w:tcPr>
            <w:tcW w:w="7920" w:type="dxa"/>
          </w:tcPr>
          <w:p w:rsidR="00FC4D60" w:rsidRPr="004E4A87" w:rsidRDefault="00FC4D60" w:rsidP="001D412E">
            <w:pPr>
              <w:rPr>
                <w:b/>
              </w:rPr>
            </w:pPr>
            <w:r>
              <w:rPr>
                <w:b/>
              </w:rPr>
              <w:t xml:space="preserve">CLTM </w:t>
            </w:r>
            <w:r w:rsidRPr="004E4A87">
              <w:rPr>
                <w:b/>
              </w:rPr>
              <w:t xml:space="preserve"> Examination</w:t>
            </w:r>
          </w:p>
        </w:tc>
      </w:tr>
    </w:tbl>
    <w:p w:rsidR="008A2771" w:rsidRDefault="008A2771" w:rsidP="00DF2C4E">
      <w:pPr>
        <w:ind w:right="990"/>
      </w:pPr>
    </w:p>
    <w:p w:rsidR="00DF2C4E" w:rsidRPr="00AF7C36" w:rsidRDefault="00DF2C4E" w:rsidP="00DF2C4E">
      <w:pPr>
        <w:ind w:right="990"/>
        <w:rPr>
          <w:sz w:val="20"/>
          <w:szCs w:val="20"/>
        </w:rPr>
      </w:pPr>
      <w:r w:rsidRPr="008A2771">
        <w:rPr>
          <w:sz w:val="20"/>
          <w:szCs w:val="20"/>
        </w:rPr>
        <w:t>*</w:t>
      </w:r>
      <w:r w:rsidR="00A55644" w:rsidRPr="008A2771">
        <w:rPr>
          <w:sz w:val="20"/>
          <w:szCs w:val="20"/>
        </w:rPr>
        <w:t xml:space="preserve"> M</w:t>
      </w:r>
      <w:r w:rsidRPr="008A2771">
        <w:rPr>
          <w:sz w:val="20"/>
          <w:szCs w:val="20"/>
        </w:rPr>
        <w:t xml:space="preserve">ust include extensive </w:t>
      </w:r>
      <w:r w:rsidR="00A55644" w:rsidRPr="008A2771">
        <w:rPr>
          <w:sz w:val="20"/>
          <w:szCs w:val="20"/>
        </w:rPr>
        <w:t xml:space="preserve">experience and </w:t>
      </w:r>
      <w:r w:rsidRPr="008A2771">
        <w:rPr>
          <w:sz w:val="20"/>
          <w:szCs w:val="20"/>
        </w:rPr>
        <w:t xml:space="preserve">clinical </w:t>
      </w:r>
      <w:r w:rsidR="00AF7C36" w:rsidRPr="008A2771">
        <w:rPr>
          <w:sz w:val="20"/>
          <w:szCs w:val="20"/>
        </w:rPr>
        <w:t>knowledge of long term monitoring in epilepsy and critical care</w:t>
      </w:r>
      <w:r w:rsidRPr="008A2771">
        <w:rPr>
          <w:sz w:val="20"/>
          <w:szCs w:val="20"/>
        </w:rPr>
        <w:t xml:space="preserve">.  Additional experience and knowledge </w:t>
      </w:r>
      <w:r w:rsidR="00AF7C36" w:rsidRPr="008A2771">
        <w:rPr>
          <w:sz w:val="20"/>
          <w:szCs w:val="20"/>
        </w:rPr>
        <w:t>of</w:t>
      </w:r>
      <w:r w:rsidRPr="008A2771">
        <w:rPr>
          <w:sz w:val="20"/>
          <w:szCs w:val="20"/>
        </w:rPr>
        <w:t xml:space="preserve"> ambulatory EEG monitoring</w:t>
      </w:r>
      <w:r w:rsidR="00AF7C36" w:rsidRPr="008A2771">
        <w:rPr>
          <w:sz w:val="20"/>
          <w:szCs w:val="20"/>
        </w:rPr>
        <w:t>,</w:t>
      </w:r>
      <w:r w:rsidRPr="008A2771">
        <w:rPr>
          <w:sz w:val="20"/>
          <w:szCs w:val="20"/>
        </w:rPr>
        <w:t xml:space="preserve"> </w:t>
      </w:r>
      <w:r w:rsidR="00AF7C36" w:rsidRPr="008A2771">
        <w:rPr>
          <w:sz w:val="20"/>
          <w:szCs w:val="20"/>
        </w:rPr>
        <w:t xml:space="preserve">epilepsy surgery including functional mapping, </w:t>
      </w:r>
      <w:r w:rsidRPr="008A2771">
        <w:rPr>
          <w:sz w:val="20"/>
          <w:szCs w:val="20"/>
        </w:rPr>
        <w:t>is also expected.</w:t>
      </w:r>
      <w:r w:rsidRPr="00AF7C36">
        <w:rPr>
          <w:sz w:val="20"/>
          <w:szCs w:val="20"/>
        </w:rPr>
        <w:t xml:space="preserve">  </w:t>
      </w:r>
    </w:p>
    <w:p w:rsidR="00B5007F" w:rsidRDefault="008A2771" w:rsidP="00B5007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C45C5E" w:rsidRPr="00DF2C4E">
        <w:rPr>
          <w:sz w:val="20"/>
          <w:szCs w:val="20"/>
        </w:rPr>
        <w:t>Documentation of 50 LTM cases must be submitted</w:t>
      </w:r>
      <w:r>
        <w:rPr>
          <w:sz w:val="20"/>
          <w:szCs w:val="20"/>
        </w:rPr>
        <w:t xml:space="preserve"> (uploaded)</w:t>
      </w:r>
      <w:r w:rsidR="00C45C5E" w:rsidRPr="00DF2C4E">
        <w:rPr>
          <w:sz w:val="20"/>
          <w:szCs w:val="20"/>
        </w:rPr>
        <w:t xml:space="preserve"> with the application.  </w:t>
      </w:r>
      <w:r w:rsidR="00C45C5E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documentation </w:t>
      </w:r>
      <w:r w:rsidR="00C45C5E">
        <w:rPr>
          <w:sz w:val="20"/>
          <w:szCs w:val="20"/>
        </w:rPr>
        <w:t>form is available on the ABRET website under CLTM.</w:t>
      </w:r>
    </w:p>
    <w:p w:rsidR="008A2771" w:rsidRDefault="008A2771" w:rsidP="008A2771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Pr="00DF2C4E">
        <w:rPr>
          <w:sz w:val="20"/>
          <w:szCs w:val="20"/>
        </w:rPr>
        <w:t>Cases must have been monitored</w:t>
      </w:r>
      <w:r>
        <w:rPr>
          <w:sz w:val="20"/>
          <w:szCs w:val="20"/>
        </w:rPr>
        <w:t xml:space="preserve"> within the last 5 years, with 10% (5</w:t>
      </w:r>
      <w:r w:rsidRPr="00DF2C4E">
        <w:rPr>
          <w:sz w:val="20"/>
          <w:szCs w:val="20"/>
        </w:rPr>
        <w:t>) within the last 12 months</w:t>
      </w:r>
      <w:r>
        <w:rPr>
          <w:sz w:val="20"/>
          <w:szCs w:val="20"/>
        </w:rPr>
        <w:t xml:space="preserve">.  </w:t>
      </w:r>
    </w:p>
    <w:p w:rsidR="008A2771" w:rsidRDefault="008A2771" w:rsidP="008A2771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Pr="00DF2C4E">
        <w:rPr>
          <w:sz w:val="20"/>
          <w:szCs w:val="20"/>
        </w:rPr>
        <w:t xml:space="preserve">No more than </w:t>
      </w:r>
      <w:r>
        <w:rPr>
          <w:sz w:val="20"/>
          <w:szCs w:val="20"/>
        </w:rPr>
        <w:t>10% (5</w:t>
      </w:r>
      <w:r w:rsidRPr="00DF2C4E">
        <w:rPr>
          <w:sz w:val="20"/>
          <w:szCs w:val="20"/>
        </w:rPr>
        <w:t>) of cases may be ambulatory monitoring.</w:t>
      </w:r>
      <w:r>
        <w:rPr>
          <w:sz w:val="20"/>
          <w:szCs w:val="20"/>
        </w:rPr>
        <w:t xml:space="preserve">  Each admission may only be counted as one case, regardless of the number of days of monitoring.</w:t>
      </w:r>
    </w:p>
    <w:p w:rsidR="00B5007F" w:rsidRDefault="00B5007F" w:rsidP="008A2771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Documentation forms will be randomly audited. Incomplete or incorrect information may delay or negate eligibility.</w:t>
      </w:r>
    </w:p>
    <w:p w:rsidR="00110AF3" w:rsidRPr="00110AF3" w:rsidRDefault="00B5007F" w:rsidP="008A2771">
      <w:pPr>
        <w:spacing w:after="0" w:line="240" w:lineRule="auto"/>
        <w:ind w:left="720" w:hanging="72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5</w:t>
      </w:r>
      <w:r w:rsidR="008A2771">
        <w:rPr>
          <w:rFonts w:asciiTheme="minorHAnsi" w:eastAsiaTheme="minorHAnsi" w:hAnsiTheme="minorHAnsi" w:cstheme="minorBidi"/>
          <w:sz w:val="20"/>
          <w:szCs w:val="20"/>
        </w:rPr>
        <w:t>.</w:t>
      </w:r>
      <w:r w:rsidR="008A2771">
        <w:rPr>
          <w:rFonts w:asciiTheme="minorHAnsi" w:eastAsiaTheme="minorHAnsi" w:hAnsiTheme="minorHAnsi" w:cstheme="minorBidi"/>
          <w:sz w:val="20"/>
          <w:szCs w:val="20"/>
        </w:rPr>
        <w:tab/>
      </w:r>
      <w:r w:rsidR="00110AF3" w:rsidRPr="00C04CD4">
        <w:rPr>
          <w:rFonts w:asciiTheme="minorHAnsi" w:eastAsiaTheme="minorHAnsi" w:hAnsiTheme="minorHAnsi" w:cstheme="minorBidi"/>
          <w:sz w:val="20"/>
          <w:szCs w:val="20"/>
        </w:rPr>
        <w:t>After 3 unsuccessful attempts to pass the examination, candidates must wait one year and submit an additional 30 hours of ASET Continuing Education before again being eligible to test.</w:t>
      </w:r>
      <w:r w:rsidR="00110AF3">
        <w:rPr>
          <w:rFonts w:asciiTheme="minorHAnsi" w:eastAsiaTheme="minorHAnsi" w:hAnsiTheme="minorHAnsi" w:cstheme="minorBidi"/>
          <w:sz w:val="20"/>
          <w:szCs w:val="20"/>
        </w:rPr>
        <w:br/>
      </w:r>
    </w:p>
    <w:p w:rsidR="00DF2C4E" w:rsidRDefault="00B5007F" w:rsidP="00DF2C4E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8A2771">
        <w:rPr>
          <w:sz w:val="20"/>
          <w:szCs w:val="20"/>
        </w:rPr>
        <w:t>.</w:t>
      </w:r>
      <w:r w:rsidR="008A2771">
        <w:rPr>
          <w:sz w:val="20"/>
          <w:szCs w:val="20"/>
        </w:rPr>
        <w:tab/>
      </w:r>
      <w:r w:rsidR="00DF2C4E" w:rsidRPr="00DF2C4E">
        <w:rPr>
          <w:sz w:val="20"/>
          <w:szCs w:val="20"/>
        </w:rPr>
        <w:t>The CLTM credential is awarded for five years.  See the options under Recertification.</w:t>
      </w:r>
    </w:p>
    <w:p w:rsidR="000B7ED7" w:rsidRDefault="000B7ED7" w:rsidP="00196382"/>
    <w:sectPr w:rsidR="000B7ED7" w:rsidSect="00DF2C4E">
      <w:pgSz w:w="15840" w:h="12240" w:orient="landscape"/>
      <w:pgMar w:top="720" w:right="24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2063A"/>
    <w:multiLevelType w:val="hybridMultilevel"/>
    <w:tmpl w:val="16CC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22881"/>
    <w:multiLevelType w:val="hybridMultilevel"/>
    <w:tmpl w:val="23D6107C"/>
    <w:lvl w:ilvl="0" w:tplc="740445E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25B5C"/>
    <w:multiLevelType w:val="hybridMultilevel"/>
    <w:tmpl w:val="080865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53"/>
    <w:rsid w:val="000122DC"/>
    <w:rsid w:val="000175B9"/>
    <w:rsid w:val="000258B6"/>
    <w:rsid w:val="000638C7"/>
    <w:rsid w:val="000B7ED7"/>
    <w:rsid w:val="00110AF3"/>
    <w:rsid w:val="00196382"/>
    <w:rsid w:val="00196B72"/>
    <w:rsid w:val="001E3F0C"/>
    <w:rsid w:val="00234422"/>
    <w:rsid w:val="002437A5"/>
    <w:rsid w:val="00287947"/>
    <w:rsid w:val="00377094"/>
    <w:rsid w:val="003B5F8D"/>
    <w:rsid w:val="003C1BF8"/>
    <w:rsid w:val="003C4341"/>
    <w:rsid w:val="004046E6"/>
    <w:rsid w:val="00455E70"/>
    <w:rsid w:val="00486236"/>
    <w:rsid w:val="004C5BA7"/>
    <w:rsid w:val="004E71CC"/>
    <w:rsid w:val="005142D7"/>
    <w:rsid w:val="00522453"/>
    <w:rsid w:val="005E47AA"/>
    <w:rsid w:val="00613188"/>
    <w:rsid w:val="00667389"/>
    <w:rsid w:val="006F56E7"/>
    <w:rsid w:val="007E76D1"/>
    <w:rsid w:val="008914C7"/>
    <w:rsid w:val="00893EFF"/>
    <w:rsid w:val="008A2771"/>
    <w:rsid w:val="008B1377"/>
    <w:rsid w:val="008F2B1D"/>
    <w:rsid w:val="009B5F87"/>
    <w:rsid w:val="009D4A5C"/>
    <w:rsid w:val="00A12643"/>
    <w:rsid w:val="00A4423A"/>
    <w:rsid w:val="00A55644"/>
    <w:rsid w:val="00AB235D"/>
    <w:rsid w:val="00AF7C36"/>
    <w:rsid w:val="00B5007F"/>
    <w:rsid w:val="00BE25CE"/>
    <w:rsid w:val="00C40EA2"/>
    <w:rsid w:val="00C45C5E"/>
    <w:rsid w:val="00CB4FAC"/>
    <w:rsid w:val="00CD3AA4"/>
    <w:rsid w:val="00CF6C56"/>
    <w:rsid w:val="00DC4B16"/>
    <w:rsid w:val="00DF2C4E"/>
    <w:rsid w:val="00EB57BA"/>
    <w:rsid w:val="00ED77CC"/>
    <w:rsid w:val="00F11D74"/>
    <w:rsid w:val="00F268B9"/>
    <w:rsid w:val="00F97D4D"/>
    <w:rsid w:val="00F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B5AE6-5B6E-4EBE-8BC3-6980CB7A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4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FA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B4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2</cp:revision>
  <cp:lastPrinted>2015-07-27T19:47:00Z</cp:lastPrinted>
  <dcterms:created xsi:type="dcterms:W3CDTF">2015-11-20T18:20:00Z</dcterms:created>
  <dcterms:modified xsi:type="dcterms:W3CDTF">2015-11-20T18:20:00Z</dcterms:modified>
</cp:coreProperties>
</file>